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2025-01-09 18:03:31.300794</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and random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9, 28</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29</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30</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31, 32</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33</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34</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33</w:t>
      </w:r>
      <w:r>
        <w:t xml:space="preserve"> </w:t>
      </w:r>
      <w:r>
        <w:t xml:space="preserve">Hence, methodologies which retain patients and give the potential to adjust for a broader set of prognostic factors (e.g., multiple imputation</w:t>
      </w:r>
      <w:r>
        <w:rPr>
          <w:vertAlign w:val="superscript"/>
        </w:rPr>
        <w:t xml:space="preserve">35</w:t>
      </w:r>
      <w:r>
        <w:t xml:space="preserve"> </w:t>
      </w:r>
      <w:r>
        <w:t xml:space="preserve">or doubly robust methods</w:t>
      </w:r>
      <w:r>
        <w:rPr>
          <w:vertAlign w:val="superscript"/>
        </w:rPr>
        <w:t xml:space="preserve">36</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37</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38, 39</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40</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9, 28</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9, 28</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51</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franklin2020nonrandomized"/>
    <w:p>
      <w:pPr>
        <w:pStyle w:val="Bibliography"/>
      </w:pPr>
      <w:r>
        <w:rPr>
          <w:b/>
          <w:bCs/>
        </w:rPr>
        <w:t xml:space="preserve">28</w:t>
      </w:r>
      <w:r>
        <w:t xml:space="preserve">. Franklin JM, Pawar A, Martin D, et al: Nonrandomized real-world evidence to support regulatory decision making: Process for a randomized trial replication project. Clinical Pharmacology &amp; Therapeutics 107:817–826, 2020</w:t>
      </w:r>
    </w:p>
    <w:bookmarkEnd w:id="77"/>
    <w:bookmarkStart w:id="78" w:name="ref-schneeweiss2019graphical"/>
    <w:p>
      <w:pPr>
        <w:pStyle w:val="Bibliography"/>
      </w:pPr>
      <w:r>
        <w:rPr>
          <w:b/>
          <w:bCs/>
        </w:rPr>
        <w:t xml:space="preserve">29</w:t>
      </w:r>
      <w:r>
        <w:t xml:space="preserve">. Schneeweiss S, Rassen JA, Brown JS, et al: Graphical depiction of longitudinal study designs in health care databases. Annals of internal medicine 170:398–406, 2019</w:t>
      </w:r>
    </w:p>
    <w:bookmarkEnd w:id="78"/>
    <w:bookmarkStart w:id="79" w:name="ref-rubin1976inference"/>
    <w:p>
      <w:pPr>
        <w:pStyle w:val="Bibliography"/>
      </w:pPr>
      <w:r>
        <w:rPr>
          <w:b/>
          <w:bCs/>
        </w:rPr>
        <w:t xml:space="preserve">30</w:t>
      </w:r>
      <w:r>
        <w:t xml:space="preserve">. Rubin DB: Inference and missing data. Biometrika 63:581–592, 1976</w:t>
      </w:r>
    </w:p>
    <w:bookmarkEnd w:id="79"/>
    <w:bookmarkStart w:id="80" w:name="ref-weberpals2024smdi"/>
    <w:p>
      <w:pPr>
        <w:pStyle w:val="Bibliography"/>
      </w:pPr>
      <w:r>
        <w:rPr>
          <w:b/>
          <w:bCs/>
        </w:rPr>
        <w:t xml:space="preserve">31</w:t>
      </w:r>
      <w:r>
        <w:t xml:space="preserve">. Weberpals J, Raman SR, Shaw PA, et al: Smdi: An r package to perform structural missing data investigations on partially observed confounders in real-world evidence studies. JAMIA open 7:ooae008, 2024</w:t>
      </w:r>
    </w:p>
    <w:bookmarkEnd w:id="80"/>
    <w:bookmarkStart w:id="82" w:name="ref-weberpals2024"/>
    <w:p>
      <w:pPr>
        <w:pStyle w:val="Bibliography"/>
      </w:pPr>
      <w:r>
        <w:rPr>
          <w:b/>
          <w:bCs/>
        </w:rPr>
        <w:t xml:space="preserve">32</w:t>
      </w:r>
      <w:r>
        <w:t xml:space="preserve">. Weberpals J, Raman SR, Shaw PA, et al: A principled approach to characterize and analyze partially observed confounder data from electronic health records [Internet]. Clinical Epidemiology 16:329–343, 2024Available from:</w:t>
      </w:r>
      <w:hyperlink r:id="rId81">
        <w:r>
          <w:rPr>
            <w:rStyle w:val="Hyperlink"/>
          </w:rPr>
          <w:t xml:space="preserve"> </w:t>
        </w:r>
        <w:r>
          <w:rPr>
            <w:rStyle w:val="Hyperlink"/>
          </w:rPr>
          <w:t xml:space="preserve">https://www.tandfonline.com/doi/abs/10.2147/CLEP.S436131</w:t>
        </w:r>
        <w:r>
          <w:rPr>
            <w:rStyle w:val="Hyperlink"/>
          </w:rPr>
          <w:t xml:space="preserve"> </w:t>
        </w:r>
      </w:hyperlink>
    </w:p>
    <w:bookmarkEnd w:id="82"/>
    <w:bookmarkStart w:id="83" w:name="ref-moreno2018canonical"/>
    <w:p>
      <w:pPr>
        <w:pStyle w:val="Bibliography"/>
      </w:pPr>
      <w:r>
        <w:rPr>
          <w:b/>
          <w:bCs/>
        </w:rPr>
        <w:t xml:space="preserve">33</w:t>
      </w:r>
      <w:r>
        <w:t xml:space="preserve">. Moreno-Betancur M, Lee KJ, Leacy FP, et al: Canonical causal diagrams to guide the treatment of missing data in epidemiologic studies. American journal of epidemiology 187:2705–2715, 2018</w:t>
      </w:r>
    </w:p>
    <w:bookmarkEnd w:id="83"/>
    <w:bookmarkStart w:id="84" w:name="ref-tompsett2018use"/>
    <w:p>
      <w:pPr>
        <w:pStyle w:val="Bibliography"/>
      </w:pPr>
      <w:r>
        <w:rPr>
          <w:b/>
          <w:bCs/>
        </w:rPr>
        <w:t xml:space="preserve">34</w:t>
      </w:r>
      <w:r>
        <w:t xml:space="preserve">. Tompsett DM, Leacy F, Moreno-Betancur M, et al: On the use of the not-at-random fully conditional specification (NARFCS) procedure in practice. Statistics in medicine 37:2338–2353, 2018</w:t>
      </w:r>
    </w:p>
    <w:bookmarkEnd w:id="84"/>
    <w:bookmarkStart w:id="86" w:name="ref-weberpals2024hdmi"/>
    <w:p>
      <w:pPr>
        <w:pStyle w:val="Bibliography"/>
      </w:pPr>
      <w:r>
        <w:rPr>
          <w:b/>
          <w:bCs/>
        </w:rPr>
        <w:t xml:space="preserve">35</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5">
        <w:r>
          <w:rPr>
            <w:rStyle w:val="Hyperlink"/>
          </w:rPr>
          <w:t xml:space="preserve">https://arxiv.org/abs/2405.10925</w:t>
        </w:r>
      </w:hyperlink>
    </w:p>
    <w:bookmarkEnd w:id="86"/>
    <w:bookmarkStart w:id="88" w:name="ref-Shaw2024"/>
    <w:p>
      <w:pPr>
        <w:pStyle w:val="Bibliography"/>
      </w:pPr>
      <w:r>
        <w:rPr>
          <w:b/>
          <w:bCs/>
        </w:rPr>
        <w:t xml:space="preserve">36</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7">
        <w:r>
          <w:rPr>
            <w:rStyle w:val="Hyperlink"/>
          </w:rPr>
          <w:t xml:space="preserve">https://github.com/PamelaShaw/Missing-Confounders-Methods</w:t>
        </w:r>
      </w:hyperlink>
    </w:p>
    <w:bookmarkEnd w:id="88"/>
    <w:bookmarkStart w:id="89" w:name="ref-cox1972regression"/>
    <w:p>
      <w:pPr>
        <w:pStyle w:val="Bibliography"/>
      </w:pPr>
      <w:r>
        <w:rPr>
          <w:b/>
          <w:bCs/>
        </w:rPr>
        <w:t xml:space="preserve">37</w:t>
      </w:r>
      <w:r>
        <w:t xml:space="preserve">. Cox DR: Regression models and life-tables. Journal of the royal statistical society. Series B (Methodological) 34:187–220, 1972</w:t>
      </w:r>
    </w:p>
    <w:bookmarkEnd w:id="89"/>
    <w:bookmarkStart w:id="90" w:name="ref-hernan2010hazards"/>
    <w:p>
      <w:pPr>
        <w:pStyle w:val="Bibliography"/>
      </w:pPr>
      <w:r>
        <w:rPr>
          <w:b/>
          <w:bCs/>
        </w:rPr>
        <w:t xml:space="preserve">38</w:t>
      </w:r>
      <w:r>
        <w:t xml:space="preserve">. Hernán MA: The hazards of hazard ratios. Epidemiology 21:13–15, 2010</w:t>
      </w:r>
    </w:p>
    <w:bookmarkEnd w:id="90"/>
    <w:bookmarkStart w:id="92" w:name="ref-stensrud2020test"/>
    <w:p>
      <w:pPr>
        <w:pStyle w:val="Bibliography"/>
      </w:pPr>
      <w:r>
        <w:rPr>
          <w:b/>
          <w:bCs/>
        </w:rPr>
        <w:t xml:space="preserve">39</w:t>
      </w:r>
      <w:r>
        <w:t xml:space="preserve">. Stensrud MJ, Hernán MA:</w:t>
      </w:r>
      <w:r>
        <w:t xml:space="preserve"> </w:t>
      </w:r>
      <w:hyperlink r:id="rId91">
        <w:r>
          <w:rPr>
            <w:rStyle w:val="Hyperlink"/>
          </w:rPr>
          <w:t xml:space="preserve">Why test for proportional hazards?</w:t>
        </w:r>
      </w:hyperlink>
      <w:r>
        <w:t xml:space="preserve"> Jama 323:1401–1402, 2020</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gaber2024mystifying"/>
    <w:p>
      <w:pPr>
        <w:pStyle w:val="Bibliography"/>
      </w:pPr>
      <w:r>
        <w:rPr>
          <w:b/>
          <w:bCs/>
        </w:rPr>
        <w:t xml:space="preserve">51</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59654"/>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59654"/>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54932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5493266"/>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2025-01-09T18:04:49Z</dcterms:created>
  <dcterms:modified xsi:type="dcterms:W3CDTF">2025-01-09T18:04:49Z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